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color w:val="1f497d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360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6"/>
        <w:gridCol w:w="2166"/>
        <w:gridCol w:w="2340"/>
        <w:gridCol w:w="2115"/>
        <w:gridCol w:w="2552"/>
        <w:gridCol w:w="2268"/>
        <w:tblGridChange w:id="0">
          <w:tblGrid>
            <w:gridCol w:w="2166"/>
            <w:gridCol w:w="2166"/>
            <w:gridCol w:w="2340"/>
            <w:gridCol w:w="2115"/>
            <w:gridCol w:w="2552"/>
            <w:gridCol w:w="2268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eebf6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alibri" w:cs="Calibri" w:eastAsia="Calibri" w:hAnsi="Calibri"/>
                <w:b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22"/>
                <w:szCs w:val="22"/>
                <w:rtl w:val="0"/>
              </w:rPr>
              <w:t xml:space="preserve">TEMAS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fff2cc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Inducción (1.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vertAlign w:val="superscript"/>
                <w:rtl w:val="0"/>
              </w:rPr>
              <w:t xml:space="preserve">ro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 a 2.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vertAlign w:val="superscript"/>
                <w:rtl w:val="0"/>
              </w:rPr>
              <w:t xml:space="preserve">do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 semestre)</w:t>
            </w:r>
          </w:p>
        </w:tc>
        <w:tc>
          <w:tcPr>
            <w:gridSpan w:val="2"/>
            <w:shd w:fill="e2efd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Trayectoria (3.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vertAlign w:val="superscript"/>
                <w:rtl w:val="0"/>
              </w:rPr>
              <w:t xml:space="preserve">ro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 a 6.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vertAlign w:val="superscript"/>
                <w:rtl w:val="0"/>
              </w:rPr>
              <w:t xml:space="preserve">to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 semestre)</w:t>
            </w:r>
          </w:p>
        </w:tc>
        <w:tc>
          <w:tcPr>
            <w:gridSpan w:val="2"/>
            <w:shd w:fill="f7cbac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Egreso (7.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vertAlign w:val="superscript"/>
                <w:rtl w:val="0"/>
              </w:rPr>
              <w:t xml:space="preserve">mo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 a egreso)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Normatividad Universitaria-Reglamento General de Evaluación y Promoción de Alumnos.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Mapa curricular-plan de estudios.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Servicios académicos y administrativos.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Hábitos de estudio.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Motivación.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Normatividad Universitaria-Derechos y obligaciones.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Seguimiento de metas académicas.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Estrategias de aprendizaje y autoaprendizaje.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Hábitos de estudio.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Importancia del aprendizaje de un segundo idioma.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Motivación.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Prácticas profesionales.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Servicio social.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Formas y procesos de titulación.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Posgrados.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Bolsa de trabajos.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Motivación. 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eebf6" w:val="clea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Calibri" w:cs="Calibri" w:eastAsia="Calibri" w:hAnsi="Calibri"/>
                <w:b w:val="1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1f497d"/>
                <w:sz w:val="22"/>
                <w:szCs w:val="22"/>
                <w:rtl w:val="0"/>
              </w:rPr>
              <w:t xml:space="preserve">ACTIVIDADES</w:t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 semestre</w:t>
            </w:r>
          </w:p>
        </w:tc>
        <w:tc>
          <w:tcPr>
            <w:shd w:fill="fff2cc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vertAlign w:val="superscript"/>
                <w:rtl w:val="0"/>
              </w:rPr>
              <w:t xml:space="preserve">do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 semestre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3.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vertAlign w:val="superscript"/>
                <w:rtl w:val="0"/>
              </w:rPr>
              <w:t xml:space="preserve">er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 semestre</w:t>
            </w:r>
          </w:p>
        </w:tc>
        <w:tc>
          <w:tcPr>
            <w:shd w:fill="e2efd9" w:val="clea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4.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vertAlign w:val="superscript"/>
                <w:rtl w:val="0"/>
              </w:rPr>
              <w:t xml:space="preserve">to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 a 6.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vertAlign w:val="superscript"/>
                <w:rtl w:val="0"/>
              </w:rPr>
              <w:t xml:space="preserve">to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 semestre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7.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vertAlign w:val="superscript"/>
                <w:rtl w:val="0"/>
              </w:rPr>
              <w:t xml:space="preserve">mo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 semestre</w:t>
            </w:r>
          </w:p>
        </w:tc>
        <w:tc>
          <w:tcPr>
            <w:shd w:fill="f7cbac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color w:val="1f497d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8.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vertAlign w:val="superscript"/>
                <w:rtl w:val="0"/>
              </w:rPr>
              <w:t xml:space="preserve">vo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 y 9.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vertAlign w:val="superscript"/>
                <w:rtl w:val="0"/>
              </w:rPr>
              <w:t xml:space="preserve">no</w:t>
            </w:r>
            <w:r w:rsidDel="00000000" w:rsidR="00000000" w:rsidRPr="00000000">
              <w:rPr>
                <w:rFonts w:ascii="Calibri" w:cs="Calibri" w:eastAsia="Calibri" w:hAnsi="Calibri"/>
                <w:color w:val="1f497d"/>
                <w:sz w:val="22"/>
                <w:szCs w:val="22"/>
                <w:rtl w:val="0"/>
              </w:rPr>
              <w:t xml:space="preserve"> semestre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Elaborar diagnóstico de cada uno de los tutorados.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Desarrollar al menos dos temas ante los tutorados.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Calendarización de actividades.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Registrar sesiones en el SIT periódicamente.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Canalizar al área especializada cuando el tutor lo considere necesario o lo solicite el tutorado.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Entrega de expediente: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ind w:left="502" w:hanging="360"/>
              <w:jc w:val="both"/>
              <w:rPr>
                <w:rFonts w:ascii="Calibri" w:cs="Calibri" w:eastAsia="Calibri" w:hAnsi="Calibri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18"/>
                <w:szCs w:val="18"/>
                <w:rtl w:val="0"/>
              </w:rPr>
              <w:t xml:space="preserve">Programa Operativo del Tutor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3"/>
              </w:numPr>
              <w:ind w:left="502" w:hanging="360"/>
              <w:jc w:val="both"/>
              <w:rPr>
                <w:rFonts w:ascii="Calibri" w:cs="Calibri" w:eastAsia="Calibri" w:hAnsi="Calibri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18"/>
                <w:szCs w:val="18"/>
                <w:rtl w:val="0"/>
              </w:rPr>
              <w:t xml:space="preserve">Diagnóstico del Tutorado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3"/>
              </w:numPr>
              <w:ind w:left="502" w:hanging="360"/>
              <w:jc w:val="both"/>
              <w:rPr>
                <w:rFonts w:ascii="Calibri" w:cs="Calibri" w:eastAsia="Calibri" w:hAnsi="Calibri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18"/>
                <w:szCs w:val="18"/>
                <w:rtl w:val="0"/>
              </w:rPr>
              <w:t xml:space="preserve">Registro de sesiones tutoriales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ind w:left="502" w:hanging="360"/>
              <w:jc w:val="both"/>
              <w:rPr>
                <w:rFonts w:ascii="Calibri" w:cs="Calibri" w:eastAsia="Calibri" w:hAnsi="Calibri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18"/>
                <w:szCs w:val="18"/>
                <w:rtl w:val="0"/>
              </w:rPr>
              <w:t xml:space="preserve">Informe final de tutoría 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ind w:left="502" w:hanging="360"/>
              <w:jc w:val="both"/>
              <w:rPr>
                <w:rFonts w:ascii="Calibri" w:cs="Calibri" w:eastAsia="Calibri" w:hAnsi="Calibri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f497d"/>
                <w:sz w:val="18"/>
                <w:szCs w:val="18"/>
                <w:rtl w:val="0"/>
              </w:rPr>
              <w:t xml:space="preserve">Registro de asesorías académicas 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Calibri" w:cs="Calibri" w:eastAsia="Calibri" w:hAnsi="Calibri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Desarrollar al menos dos temas ante los tutorados.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Identificar alumnos con deficiencia académica y en art. 34.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Calendarización de actividades.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Registrar sesiones en el SIT periódicamente.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Canalizar al área especializada cuando el tutor lo considere necesario o lo solicite el tutorado.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Entrega de expediente: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Programa Operativo del Tutor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Registro de sesiones tutoriales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Informe final de tutoría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Registro de asesorías académicas. </w:t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Calibri" w:cs="Calibri" w:eastAsia="Calibri" w:hAnsi="Calibri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Actualizar diagnóstico de cada uno de los tutorados.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Desarrollar al menos dos temas ante los tutorados.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Identificar alumnos con deficiencia académica y en art. 34.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Calendarización de actividades.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Registrar sesiones en el SIT periódicamente.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Canalizar al área especializada cuando el tutor lo considere necesario o lo solicite el tutorado.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Entrega de expediente: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Programa Operativo del Tutor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Diagnóstico actualizado del tutorado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Registro de sesiones tutoriales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Informe final de tutoría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Registro de asesorías académicas.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Desarrollar al menos dos temas ante los tutorados.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Identificar alumnos con deficiencia académica y en art. 34.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Calendarización de actividades.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Registrar sesiones en el SIT periódicamente.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Canalizar al área especializada cuando el tutor lo considere necesario o lo solicite el tutorado.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Entrega de expediente: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Programa Operativo del Tutor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Registro de sesiones tutoriales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Informe final de tutoría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Registro de asesorías académicas. </w:t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Actualizar diagnóstico de cada uno de los tutorados.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Desarrollar al menos dos temas ante los tutorados.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Identificar alumnos con deficiencia académica y en art. 34.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Calendarización de actividades.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Registrar sesiones en el SIT periódicamente.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Canalizar al área especializada cuando el tutor lo considere necesario o lo solicite el tutorado.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Entrega de expediente: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Programa Operativo del Tutor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Diagnóstico actualizado del tutorado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Registro de sesiones tutoriales 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Informe final de tutoría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Registro de asesorías académicas. 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Calibri" w:cs="Calibri" w:eastAsia="Calibri" w:hAnsi="Calibri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Desarrollar al menos dos temas ante los tutorados.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Identificar alumnos con deficiencia académica y en art. 34.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Calendarización de actividades.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Registrar sesiones en el SIT periódicamente.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Canalizar al área especializada cuando el tutor lo considere necesario o lo solicite el tutorado.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Entrega de expediente: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Programa Operativo del Tutor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Registro de sesiones tutoriales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Informe final de tutoría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hanging="36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1f497d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Registro de asesorías académicas. 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Calibri" w:cs="Calibri" w:eastAsia="Calibri" w:hAnsi="Calibri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Calibri" w:cs="Calibri" w:eastAsia="Calibri" w:hAnsi="Calibri"/>
                <w:color w:val="1f497d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rPr>
          <w:rFonts w:ascii="Calibri" w:cs="Calibri" w:eastAsia="Calibri" w:hAnsi="Calibri"/>
          <w:b w:val="1"/>
          <w:color w:val="1f497d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284" w:top="594" w:left="1417" w:right="1417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1"/>
        <w:color w:val="1f497d"/>
        <w:sz w:val="28"/>
        <w:szCs w:val="28"/>
      </w:rPr>
    </w:pPr>
    <w:r w:rsidDel="00000000" w:rsidR="00000000" w:rsidRPr="00000000">
      <w:rPr>
        <w:rtl w:val="0"/>
      </w:rPr>
    </w:r>
  </w:p>
  <w:tbl>
    <w:tblPr>
      <w:tblStyle w:val="Table2"/>
      <w:tblW w:w="11335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3256"/>
      <w:gridCol w:w="4115"/>
      <w:gridCol w:w="2122"/>
      <w:gridCol w:w="1842"/>
      <w:tblGridChange w:id="0">
        <w:tblGrid>
          <w:gridCol w:w="3256"/>
          <w:gridCol w:w="4115"/>
          <w:gridCol w:w="2122"/>
          <w:gridCol w:w="1842"/>
        </w:tblGrid>
      </w:tblGridChange>
    </w:tblGrid>
    <w:tr>
      <w:trPr>
        <w:cantSplit w:val="0"/>
        <w:trHeight w:val="180" w:hRule="atLeast"/>
        <w:tblHeader w:val="0"/>
      </w:trPr>
      <w:tc>
        <w:tcPr>
          <w:vMerge w:val="restart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78">
          <w:pPr>
            <w:jc w:val="center"/>
            <w:rPr/>
          </w:pPr>
          <w:r w:rsidDel="00000000" w:rsidR="00000000" w:rsidRPr="00000000">
            <w:rPr/>
            <w:drawing>
              <wp:inline distB="0" distT="0" distL="0" distR="0">
                <wp:extent cx="1863010" cy="627754"/>
                <wp:effectExtent b="0" l="0" r="0" t="0"/>
                <wp:docPr id="6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10" cy="62775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79">
          <w:pPr>
            <w:jc w:val="center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UNIDAD DE TUTORÍAS</w:t>
          </w:r>
        </w:p>
        <w:p w:rsidR="00000000" w:rsidDel="00000000" w:rsidP="00000000" w:rsidRDefault="00000000" w:rsidRPr="00000000" w14:paraId="0000007A">
          <w:pPr>
            <w:jc w:val="center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 </w:t>
          </w:r>
        </w:p>
        <w:p w:rsidR="00000000" w:rsidDel="00000000" w:rsidP="00000000" w:rsidRDefault="00000000" w:rsidRPr="00000000" w14:paraId="0000007B">
          <w:pPr>
            <w:jc w:val="center"/>
            <w:rPr>
              <w:rFonts w:ascii="Arial" w:cs="Arial" w:eastAsia="Arial" w:hAnsi="Arial"/>
              <w:b w:val="1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TEMA Y ACTIVIDADES PARA LA TUTORÍA</w:t>
          </w: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7C">
          <w:pPr>
            <w:jc w:val="center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CÓDIGO: </w:t>
          </w:r>
        </w:p>
        <w:p w:rsidR="00000000" w:rsidDel="00000000" w:rsidP="00000000" w:rsidRDefault="00000000" w:rsidRPr="00000000" w14:paraId="0000007D">
          <w:pPr>
            <w:jc w:val="center"/>
            <w:rPr/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PR-011-AV-02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E">
          <w:pPr>
            <w:jc w:val="center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PÁGINA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80" w:hRule="atLeast"/>
        <w:tblHeader w:val="0"/>
      </w:trPr>
      <w:tc>
        <w:tcPr>
          <w:vMerge w:val="continue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8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81">
          <w:pPr>
            <w:rPr/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No. REVISIÓN: 001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2">
          <w:pPr>
            <w:jc w:val="center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1 DE 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20" w:hRule="atLeast"/>
        <w:tblHeader w:val="0"/>
      </w:trPr>
      <w:tc>
        <w:tcPr>
          <w:vMerge w:val="continue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8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top w:w="0.0" w:type="dxa"/>
            <w:left w:w="108.0" w:type="dxa"/>
            <w:bottom w:w="0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85">
          <w:pPr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FECHA DE REVISIÓN:</w:t>
          </w:r>
        </w:p>
        <w:p w:rsidR="00000000" w:rsidDel="00000000" w:rsidP="00000000" w:rsidRDefault="00000000" w:rsidRPr="00000000" w14:paraId="00000086">
          <w:pPr>
            <w:jc w:val="center"/>
            <w:rPr>
              <w:rFonts w:ascii="Arial" w:cs="Arial" w:eastAsia="Arial" w:hAnsi="Arial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87">
          <w:pPr>
            <w:jc w:val="center"/>
            <w:rPr>
              <w:rFonts w:ascii="Arial" w:cs="Arial" w:eastAsia="Arial" w:hAnsi="Arial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sz w:val="18"/>
              <w:szCs w:val="18"/>
              <w:rtl w:val="0"/>
            </w:rPr>
            <w:t xml:space="preserve">17/02/2022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3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3"/>
      <w:numFmt w:val="bullet"/>
      <w:lvlText w:val="●"/>
      <w:lvlJc w:val="left"/>
      <w:pPr>
        <w:ind w:left="50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3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E70B3"/>
    <w:pPr>
      <w:spacing w:after="0" w:line="240" w:lineRule="auto"/>
    </w:pPr>
    <w:rPr>
      <w:rFonts w:ascii="Times New Roman" w:cs="Times New Roman" w:hAnsi="Times New Roman"/>
      <w:sz w:val="24"/>
      <w:szCs w:val="24"/>
      <w:lang w:eastAsia="es-MX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Hipervnculo">
    <w:name w:val="Hyperlink"/>
    <w:basedOn w:val="Fuentedeprrafopredeter"/>
    <w:uiPriority w:val="99"/>
    <w:unhideWhenUsed w:val="1"/>
    <w:rsid w:val="007C32C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 w:val="1"/>
    <w:rsid w:val="00264B63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AF746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F7468"/>
    <w:rPr>
      <w:rFonts w:ascii="Times New Roman" w:cs="Times New Roman" w:hAnsi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 w:val="1"/>
    <w:rsid w:val="00AF746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F7468"/>
    <w:rPr>
      <w:rFonts w:ascii="Times New Roman" w:cs="Times New Roman" w:hAnsi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7C4B2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iznbYuotDQNFQ8ViTnRXwV2P6A==">AMUW2mWXe7NAJXDV4f58KasTcD6DNcrzxuzWesEtenULQk3sLGeIIcTQX9nGaIyHiz7innKm48G484y1Y/kPlxMrM/b3qroMl8oMjuQ3A1QNsmbjjnIA+C+u+kA9qOiaA0kW3rpiGUnT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2014-10-29T18:30:00Z</dcterms:created>
  <dc:creator>Tutorias</dc:creator>
</cp:coreProperties>
</file>